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07446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465ACE" w:rsidRDefault="00C27F39" w:rsidP="00465AC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465ACE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465ACE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465ACE" w:rsidP="00465ACE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793E58" w:rsidRDefault="00DC5D05" w:rsidP="00465ACE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793E5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793E5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793E5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793E5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793E5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793E5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793E5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793E5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793E5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793E5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793E5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793E5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793E5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793E5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793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EE48B0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EE48B0">
        <w:rPr>
          <w:rFonts w:ascii="Times New Roman" w:eastAsia="Times New Roman" w:hAnsi="Times New Roman"/>
          <w:b/>
          <w:sz w:val="44"/>
          <w:szCs w:val="44"/>
          <w:lang w:eastAsia="ru-RU"/>
        </w:rPr>
        <w:t>Липецк</w:t>
      </w:r>
    </w:p>
    <w:p w:rsidR="009B68EB" w:rsidRPr="00C94EFC" w:rsidRDefault="00EE48B0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6-7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sz w:val="44"/>
          <w:szCs w:val="44"/>
          <w:lang w:eastAsia="ru-RU"/>
        </w:rPr>
        <w:t>октября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490167561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EE48B0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EE48B0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2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074465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EE48B0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3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3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4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4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5" w:name="_Toc490167566"/>
      <w:r w:rsidRPr="00557170">
        <w:t xml:space="preserve">5.1 </w:t>
      </w:r>
      <w:r w:rsidR="00357ECF" w:rsidRPr="00557170">
        <w:t>Хореография</w:t>
      </w:r>
      <w:bookmarkEnd w:id="5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6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6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7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7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8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8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  <w:proofErr w:type="spellEnd"/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9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9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0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1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1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2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2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3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3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4" w:name="_Toc490167575"/>
      <w:r w:rsidRPr="000C405D">
        <w:rPr>
          <w:bdr w:val="none" w:sz="0" w:space="0" w:color="auto" w:frame="1"/>
        </w:rPr>
        <w:t>10. УСЛОВИЯ УЧАСТИЯ</w:t>
      </w:r>
      <w:bookmarkEnd w:id="14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EE48B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3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5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5"/>
    </w:p>
    <w:p w:rsidR="00147C9C" w:rsidRDefault="00147C9C" w:rsidP="00147C9C">
      <w:pPr>
        <w:pStyle w:val="3"/>
        <w:rPr>
          <w:rFonts w:eastAsia="Lucida Sans Unicode"/>
        </w:rPr>
      </w:pPr>
      <w:bookmarkStart w:id="16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6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7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7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074465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48B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Липецк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C2CAD" w:rsidRPr="00B74E5D" w:rsidRDefault="009C2CAD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октября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BF4EDD" w:rsidRPr="00EE48B0" w:rsidRDefault="00BF4EDD" w:rsidP="00EE48B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EE48B0" w:rsidRP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Городской дворец культуры </w:t>
      </w:r>
      <w:r w:rsidR="00C74F6D" w:rsidRP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EE48B0" w:rsidRP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Коммунистическая ул., 20</w:t>
      </w:r>
      <w:r w:rsidR="00C74F6D" w:rsidRP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EE48B0" w:rsidRDefault="00740D69" w:rsidP="00EE48B0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48B0" w:rsidRDefault="00EE48B0" w:rsidP="00EE48B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7 октября 2018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EE48B0" w:rsidRPr="00EE48B0" w:rsidRDefault="00EE48B0" w:rsidP="00EE48B0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E48B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Городской дворец культуры (Коммунистическая ул., 20)</w:t>
      </w:r>
    </w:p>
    <w:p w:rsidR="00EE48B0" w:rsidRDefault="00EE48B0" w:rsidP="00EE48B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EE48B0" w:rsidRPr="006B7C93" w:rsidRDefault="00EE48B0" w:rsidP="00EE48B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EE48B0" w:rsidRPr="006B7C93" w:rsidRDefault="00EE48B0" w:rsidP="00EE48B0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793E58" w:rsidRPr="00793E58" w:rsidRDefault="00793E58" w:rsidP="00793E58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  <w:bookmarkStart w:id="18" w:name="_GoBack"/>
      <w:bookmarkEnd w:id="18"/>
    </w:p>
    <w:p w:rsidR="00EE48B0" w:rsidRDefault="00EE48B0" w:rsidP="00EE48B0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65" w:rsidRDefault="00074465" w:rsidP="00D256A1">
      <w:pPr>
        <w:spacing w:after="0" w:line="240" w:lineRule="auto"/>
      </w:pPr>
      <w:r>
        <w:separator/>
      </w:r>
    </w:p>
  </w:endnote>
  <w:endnote w:type="continuationSeparator" w:id="0">
    <w:p w:rsidR="00074465" w:rsidRDefault="00074465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58" w:rsidRPr="00793E58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65" w:rsidRDefault="00074465" w:rsidP="00D256A1">
      <w:pPr>
        <w:spacing w:after="0" w:line="240" w:lineRule="auto"/>
      </w:pPr>
      <w:r>
        <w:separator/>
      </w:r>
    </w:p>
  </w:footnote>
  <w:footnote w:type="continuationSeparator" w:id="0">
    <w:p w:rsidR="00074465" w:rsidRDefault="00074465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4465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5AC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259AA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93E58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93CEF"/>
    <w:rsid w:val="009A5300"/>
    <w:rsid w:val="009A60CC"/>
    <w:rsid w:val="009B0692"/>
    <w:rsid w:val="009B3B72"/>
    <w:rsid w:val="009B68EB"/>
    <w:rsid w:val="009B6931"/>
    <w:rsid w:val="009C2CAD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4DED"/>
    <w:rsid w:val="00E8540D"/>
    <w:rsid w:val="00E95E07"/>
    <w:rsid w:val="00E97E3F"/>
    <w:rsid w:val="00EA5374"/>
    <w:rsid w:val="00EC382F"/>
    <w:rsid w:val="00ED5D6C"/>
    <w:rsid w:val="00EE48B0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162D-25D0-40F7-B163-F0C114F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18444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7</cp:revision>
  <cp:lastPrinted>2015-04-30T11:51:00Z</cp:lastPrinted>
  <dcterms:created xsi:type="dcterms:W3CDTF">2018-08-23T08:09:00Z</dcterms:created>
  <dcterms:modified xsi:type="dcterms:W3CDTF">2018-09-19T16:48:00Z</dcterms:modified>
</cp:coreProperties>
</file>